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9233C"/>
          <w:sz w:val="32"/>
          <w:szCs w:val="32"/>
        </w:rPr>
        <w:t xml:space="preserve">PCRES CLINICAL SCORING GUIDE</w:t>
      </w:r>
    </w:p>
    <w:p>
      <w:pPr>
        <w:spacing w:after="8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Post-Craniotomy Recovery Experience Scale v1.0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Eric Whitney, DO  |  For Clinical Use</w:t>
      </w:r>
    </w:p>
    <w:p>
      <w:pPr>
        <w:pStyle w:val="Heading1"/>
        <w:pBdr>
          <w:bottom w:val="single" w:color="B4965A" w:sz="2"/>
        </w:pBdr>
        <w:spacing w:after="100" w:before="100"/>
      </w:pPr>
      <w:r>
        <w:rPr>
          <w:rFonts w:ascii="Arial" w:cs="Arial" w:eastAsia="Arial" w:hAnsi="Arial"/>
          <w:b/>
          <w:bCs/>
          <w:color w:val="19233C"/>
          <w:sz w:val="26"/>
          <w:szCs w:val="26"/>
        </w:rPr>
        <w:t xml:space="preserve">1. INSTRUMENT OVERVIEW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The PCRES is a 30-item patient-reported outcome measure designed to capture the subjective experience of recovery after craniotomy. It addresses domains systematically missed by standard instruments (PHQ-9, GAD-7, MoCA) in post-neurosurgical populations.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Standard instruments fail these patients because: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PHQ-9 cannot distinguish clinical depression from normal post-surgical grief. GAD-7 misses surgery-specific fears (recurrence, seizures, identity loss). MoCA tests clinic cognition, not real-world function (multitasking, word-finding under pressure, decision fatigue). No validated instrument captures identity disruption, neurofatigue as distinct from depression, or the gap between medical markers and felt experience.</w:t>
      </w:r>
    </w:p>
    <w:p>
      <w:pPr>
        <w:pStyle w:val="Heading1"/>
        <w:pBdr>
          <w:bottom w:val="single" w:color="B4965A" w:sz="2"/>
        </w:pBdr>
        <w:spacing w:after="100" w:before="200"/>
      </w:pPr>
      <w:r>
        <w:rPr>
          <w:rFonts w:ascii="Arial" w:cs="Arial" w:eastAsia="Arial" w:hAnsi="Arial"/>
          <w:b/>
          <w:bCs/>
          <w:color w:val="19233C"/>
          <w:sz w:val="26"/>
          <w:szCs w:val="26"/>
        </w:rPr>
        <w:t xml:space="preserve">2. SUBSCALES &amp; SCORING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00"/>
        <w:gridCol w:w="800"/>
        <w:gridCol w:w="55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Subscale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Range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Captures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A. Identity &amp; Self-Continuity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0-16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Self-recognition, personality continuity, sense of wholeness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B. Real-World Cognition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0-20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Conversation tracking, word-finding, multitasking, decisions, reading retention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C. Emotional Regulation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0-16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Crying, mood swings, emotional flatness, irritability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D. Grief &amp; Loss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0-16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Mourning abilities, grieving former life, ineffable loss, fear of permanence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E. Neurofatigue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0-12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Qualitatively different tiredness, mental exhaustion, post-activity collapse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F. Social Connection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0-16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Feeling understood, connection, avoidance, isolation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G. Medical-Experience Gap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0-12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Provider understanding, progress-vs-feeling mismatch, comfort speaking up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H. Hope &amp; Agency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0-12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Hopefulness, sense of control, trajectory perception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0-120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B4965A" w:sz="2"/>
        </w:pBdr>
        <w:spacing w:after="100" w:before="200"/>
      </w:pPr>
      <w:r>
        <w:rPr>
          <w:rFonts w:ascii="Arial" w:cs="Arial" w:eastAsia="Arial" w:hAnsi="Arial"/>
          <w:b/>
          <w:bCs/>
          <w:color w:val="19233C"/>
          <w:sz w:val="26"/>
          <w:szCs w:val="26"/>
        </w:rPr>
        <w:t xml:space="preserve">3. REVERSE SCORING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Higher scores = better recovery experience across ALL subscales. Items where higher patient ratings indicate worse experience must be reverse-scored (4→0, 3→1, 2→2, 1→3, 0→4).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53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Subscale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Reverse Items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C. Emotional Regulation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8"/>
                <w:szCs w:val="18"/>
              </w:rPr>
              <w:t xml:space="preserve">Items 10, 11, 12, 13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All four items (crying, mood swings, numbness, irritability)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D. Grief &amp; Loss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8"/>
                <w:szCs w:val="18"/>
              </w:rPr>
              <w:t xml:space="preserve">Items 14, 15, 16, 17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All four items (mourning, grieving, ineffable loss, worry)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E. Neurofatigue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8"/>
                <w:szCs w:val="18"/>
              </w:rPr>
              <w:t xml:space="preserve">Items 18, 19, 20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All three items (different tiredness, mental exhaustion, rest needed)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A. Identity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8"/>
                <w:szCs w:val="18"/>
              </w:rPr>
              <w:t xml:space="preserve">Items 2, 3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Personality different (#2), lost part of self (#3)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F. Social Connection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8"/>
                <w:szCs w:val="18"/>
              </w:rPr>
              <w:t xml:space="preserve">Items 22, 23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Avoid social situations (#22), feel alone (#23)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B4965A" w:sz="2"/>
        </w:pBdr>
        <w:spacing w:after="100" w:before="100"/>
      </w:pPr>
      <w:r>
        <w:rPr>
          <w:rFonts w:ascii="Arial" w:cs="Arial" w:eastAsia="Arial" w:hAnsi="Arial"/>
          <w:b/>
          <w:bCs/>
          <w:color w:val="19233C"/>
          <w:sz w:val="26"/>
          <w:szCs w:val="26"/>
        </w:rPr>
        <w:t xml:space="preserve">4. CLINICAL FLAG THRESHOLDS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After reverse scoring, flag any subscale where the patient scores at or below the threshold. These thresholds identify patients in the bottom quartile of expected recovery and warrant clinical attention.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900"/>
        <w:gridCol w:w="64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Subscale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C333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Flag If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Recommended Action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A. Identity (/16)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6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Consider neuropsychology referral; explore identity narrative in follow-up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B. Cognition (/20)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8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Formal neuropsych testing; screen for treatable causes (sleep, meds, mood)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C. Emotional Reg (/16)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6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Screen for PTSD/adjustment disorder; consider counseling referral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D. Grief &amp; Loss (/16)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6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Normalize grief; explore with patient; consider support group referral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E. Neurofatigue (/12)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4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Rule out medical causes (thyroid, anemia, meds); discuss pacing strategies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F. Social (/16)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6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Assess caregiver burden; consider support group; explore barriers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G. Med-Exp Gap (/12)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4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Trigger for extended visit; review communication; address expectations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H. Hope (/12)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4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Highest-priority flag: screen for suicidality; consider mental health referral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 (/120)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50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Global concern; comprehensive recovery plan review indicated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Global Rating (/10)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3333"/>
                <w:sz w:val="18"/>
                <w:szCs w:val="18"/>
              </w:rPr>
              <w:t xml:space="preserve">≤ 3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Patient perceives poor recovery regardless of subscale scores</w:t>
            </w:r>
          </w:p>
        </w:tc>
      </w:tr>
    </w:tbl>
    <w:p>
      <w:pPr>
        <w:pStyle w:val="Heading1"/>
        <w:pBdr>
          <w:bottom w:val="single" w:color="B4965A" w:sz="2"/>
        </w:pBdr>
        <w:spacing w:after="100" w:before="200"/>
      </w:pPr>
      <w:r>
        <w:rPr>
          <w:rFonts w:ascii="Arial" w:cs="Arial" w:eastAsia="Arial" w:hAnsi="Arial"/>
          <w:b/>
          <w:bCs/>
          <w:color w:val="19233C"/>
          <w:sz w:val="26"/>
          <w:szCs w:val="26"/>
        </w:rPr>
        <w:t xml:space="preserve">5. ADMINISTRATION PROTOCOL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Time Points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 weeks, 6 weeks, 3 months, 6 months, 12 months post-surgery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Completion Time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5-7 minutes (patient self-report)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Administration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Patient completes before provider encounter; staff scores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Recall Period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Past 2 weeks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Who Completes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Patient (or caregiver with patient if cognitively impaired)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Serial Tracking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Plot subscale scores over time; flag any subscale that worsens by ≥ 4 points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Open-Ended Items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Review #31 and #32 before entering room; these often reveal the real issue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Integration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Use alongside (not replacing) PHQ-9/GAD-7 if required by your system</w:t>
            </w:r>
          </w:p>
        </w:tc>
      </w:tr>
    </w:tbl>
    <w:p>
      <w:pPr>
        <w:pStyle w:val="Heading1"/>
        <w:pBdr>
          <w:bottom w:val="single" w:color="B4965A" w:sz="2"/>
        </w:pBdr>
        <w:spacing w:after="100" w:before="200"/>
      </w:pPr>
      <w:r>
        <w:rPr>
          <w:rFonts w:ascii="Arial" w:cs="Arial" w:eastAsia="Arial" w:hAnsi="Arial"/>
          <w:b/>
          <w:bCs/>
          <w:color w:val="19233C"/>
          <w:sz w:val="26"/>
          <w:szCs w:val="26"/>
        </w:rPr>
        <w:t xml:space="preserve">6. WHY STANDARD INSTRUMENTS MISS THESE PATIENTS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980"/>
        <w:gridCol w:w="900"/>
        <w:gridCol w:w="408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Tool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Asks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9233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Misses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PHQ-9 asks: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"Little interest or pleasure in doing things"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3333"/>
                <w:sz w:val="17"/>
                <w:szCs w:val="17"/>
              </w:rPr>
              <w:t xml:space="preserve">But not: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7"/>
                <w:szCs w:val="17"/>
              </w:rPr>
              <w:t xml:space="preserve">"I don't feel like myself anymore"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GAD-7 asks: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"Feeling nervous, anxious, or on edge"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3333"/>
                <w:sz w:val="17"/>
                <w:szCs w:val="17"/>
              </w:rPr>
              <w:t xml:space="preserve">But not: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7"/>
                <w:szCs w:val="17"/>
              </w:rPr>
              <w:t xml:space="preserve">"I'm afraid the person I was isn't coming back"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MoCA tests: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Serial 7s, clock drawing, word recall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3333"/>
                <w:sz w:val="17"/>
                <w:szCs w:val="17"/>
              </w:rPr>
              <w:t xml:space="preserve">But not: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7"/>
                <w:szCs w:val="17"/>
              </w:rPr>
              <w:t xml:space="preserve">"I can't follow dinner conversation anymore"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MDASI-BT asks: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"Difficulty remembering things"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3333"/>
                <w:sz w:val="17"/>
                <w:szCs w:val="17"/>
              </w:rPr>
              <w:t xml:space="preserve">But not: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7"/>
                <w:szCs w:val="17"/>
              </w:rPr>
              <w:t xml:space="preserve">"My medical team says I'm doing great but I feel terrible"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No tool asks: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C3333"/>
                <w:sz w:val="17"/>
                <w:szCs w:val="17"/>
              </w:rPr>
              <w:t xml:space="preserve"/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CC3333"/>
                <w:sz w:val="17"/>
                <w:szCs w:val="17"/>
              </w:rPr>
              <w:t xml:space="preserve">"What is the hardest part nobody warned you about?"</w:t>
            </w:r>
          </w:p>
        </w:tc>
      </w:tr>
    </w:tbl>
    <w:p>
      <w:pPr>
        <w:pBdr>
          <w:top w:val="single" w:color="CCCCCC" w:sz="1"/>
        </w:pBdr>
        <w:spacing w:before="300"/>
      </w:pPr>
    </w:p>
    <w:p>
      <w:pPr>
        <w:spacing w:before="6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PCRES v1.0  |  Post-Craniotomy Recovery Experience Scale  |  Eric Whitney, DO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instrument is pending validation. Clinical flag thresholds are preliminary and should be adjusted based on clinical experience and future psychometric data.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PCRES Clinical Scoring Guide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2026-03-11T18:57:09.008Z</dcterms:created>
  <dcterms:modified xsi:type="dcterms:W3CDTF">2026-03-11T18:57:09.008Z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